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89" w:rsidRDefault="00DE6EE5" w:rsidP="00DE6EE5">
      <w:pPr>
        <w:jc w:val="center"/>
        <w:rPr>
          <w:sz w:val="28"/>
          <w:szCs w:val="28"/>
        </w:rPr>
      </w:pPr>
      <w:r>
        <w:rPr>
          <w:sz w:val="28"/>
          <w:szCs w:val="28"/>
        </w:rPr>
        <w:t>VALOAREA PROIECTELOR CU FINANTARE EUROPEANA NERAMBURSABILA ,IN CURS DE MONITORIZARE SAU IMPLEMENTARE  INTRE ANII 2016-2020,ESTE DE</w:t>
      </w:r>
    </w:p>
    <w:p w:rsidR="00DE6EE5" w:rsidRPr="00DE6EE5" w:rsidRDefault="00DE6EE5" w:rsidP="00DE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8.343.627 LEI</w:t>
      </w:r>
    </w:p>
    <w:sectPr w:rsidR="00DE6EE5" w:rsidRPr="00DE6EE5" w:rsidSect="0051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6EE5"/>
    <w:rsid w:val="00512889"/>
    <w:rsid w:val="00D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2021-03-03T12:51:00Z</dcterms:created>
  <dcterms:modified xsi:type="dcterms:W3CDTF">2021-03-03T12:59:00Z</dcterms:modified>
</cp:coreProperties>
</file>